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B" w:rsidRPr="002A6520" w:rsidRDefault="0022144B" w:rsidP="0022144B">
      <w:pPr>
        <w:jc w:val="center"/>
        <w:rPr>
          <w:b/>
        </w:rPr>
      </w:pPr>
      <w:r w:rsidRPr="002A6520">
        <w:rPr>
          <w:b/>
          <w:szCs w:val="24"/>
        </w:rPr>
        <w:t xml:space="preserve">Перечень информации и документов, необходимых для </w:t>
      </w:r>
      <w:r w:rsidRPr="002A6520">
        <w:rPr>
          <w:b/>
          <w:sz w:val="22"/>
        </w:rPr>
        <w:t xml:space="preserve"> передачи держателю реестра</w:t>
      </w:r>
      <w:r>
        <w:rPr>
          <w:b/>
          <w:sz w:val="22"/>
        </w:rPr>
        <w:t>:</w:t>
      </w:r>
      <w:r w:rsidRPr="002A6520">
        <w:rPr>
          <w:b/>
          <w:sz w:val="22"/>
        </w:rPr>
        <w:t xml:space="preserve"> </w:t>
      </w:r>
    </w:p>
    <w:p w:rsidR="0022144B" w:rsidRDefault="0022144B" w:rsidP="0022144B">
      <w:pPr>
        <w:pStyle w:val="ConsPlusNormal"/>
        <w:jc w:val="both"/>
      </w:pP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bookmarkStart w:id="0" w:name="P143"/>
      <w:bookmarkEnd w:id="0"/>
      <w:r>
        <w:t>список открытых лицевых и иных счетов, включающий сведения, позволяющие идентифицировать зарегистрированных лиц,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подписания акта прием</w:t>
      </w:r>
      <w:proofErr w:type="gramStart"/>
      <w:r>
        <w:t>а-</w:t>
      </w:r>
      <w:proofErr w:type="gramEnd"/>
      <w:r>
        <w:t xml:space="preserve"> передачи.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и при наличии требования держателя реестра, принимающего реестр, - также на бумажном носителе, скрепленный подписью уполномоченного лица, передающего реестр;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реестра. Указанный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и при наличии требования держателя реестра, принимающего реестр, - также на бумажном носителе, скрепленный подписью уполномоченного лица, передающего реестр;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анкеты эмитента (лица, обязанного по ценным бумагам), зарегистрированных лиц, залогодержателей со всеми имеющимися документами, которые были представлены для открытия и (или) внесения изменений в сведения, содержащиеся в анкете;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proofErr w:type="gramStart"/>
      <w:r>
        <w:t>решения о выпуске ценных бумаг эмитента со всеми внесенными в такие решения изменениями, отчеты или уведомления об итогах всех выпусков ценных бумаг, уведомления о государственной регистрации всех выпусков ценных бумаг эмитента, иные документы, подтверждающие количество размещенных ценных бумаг (если применимо), а также документы, подтверждающие объединение выпусков (дополнительных выпусков) эмиссионных ценных бумаг, аннулирование индивидуального номера (кода) дополнительного выпуска эмиссионных ценных бумаг</w:t>
      </w:r>
      <w:proofErr w:type="gramEnd"/>
      <w:r>
        <w:t xml:space="preserve">, признание выпуска (дополнительного выпуска) эмиссионных ценных бумаг </w:t>
      </w:r>
      <w:proofErr w:type="gramStart"/>
      <w:r>
        <w:t>несостоявшимся</w:t>
      </w:r>
      <w:proofErr w:type="gramEnd"/>
      <w:r>
        <w:t xml:space="preserve"> или недействительным;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учетные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регистрационные журналы за все предшествующие периоды ведения реестра всеми предыдущими держателями реестра в бумажном и (или) электронном виде;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копии документов, содержащих сведения о размере долей участников долевой собственности, являющихся зарегистрированными лицами на дату составления реестра при его передаче;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документы (оригиналы или копии), являющиеся основанием для фиксации обременения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действующие на момент передачи реестра;</w:t>
      </w:r>
    </w:p>
    <w:p w:rsidR="0022144B" w:rsidRDefault="0022144B" w:rsidP="0022144B">
      <w:pPr>
        <w:pStyle w:val="ConsPlusNormal"/>
        <w:numPr>
          <w:ilvl w:val="0"/>
          <w:numId w:val="1"/>
        </w:numPr>
        <w:spacing w:before="220"/>
        <w:ind w:left="0" w:firstLine="556"/>
        <w:jc w:val="both"/>
      </w:pPr>
      <w:r>
        <w:t>устав эмитента (лица, обязанного по ценным бумагам) со всеми изменениями в устав (при наличии).</w:t>
      </w:r>
      <w:bookmarkStart w:id="1" w:name="_GoBack"/>
      <w:bookmarkEnd w:id="1"/>
    </w:p>
    <w:p w:rsidR="008764E6" w:rsidRDefault="008764E6"/>
    <w:sectPr w:rsidR="0087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454"/>
    <w:multiLevelType w:val="hybridMultilevel"/>
    <w:tmpl w:val="B03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4B"/>
    <w:rsid w:val="0022144B"/>
    <w:rsid w:val="008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2021-03-27T11:37:00Z</dcterms:created>
  <dcterms:modified xsi:type="dcterms:W3CDTF">2021-03-27T11:39:00Z</dcterms:modified>
</cp:coreProperties>
</file>